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2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32"/>
      </w:tblGrid>
      <w:tr w:rsidR="005C4F75" w:rsidRPr="004E6C6F" w:rsidTr="005A532A">
        <w:trPr>
          <w:trHeight w:val="556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4E6C6F" w:rsidRDefault="005C4F75" w:rsidP="005A532A">
            <w:pPr>
              <w:rPr>
                <w:rFonts w:eastAsia="Calibri"/>
                <w:b/>
              </w:rPr>
            </w:pPr>
            <w:r w:rsidRPr="004E6C6F">
              <w:rPr>
                <w:rFonts w:eastAsia="Calibri"/>
                <w:b/>
              </w:rPr>
              <w:t xml:space="preserve">Name des </w:t>
            </w:r>
            <w:proofErr w:type="spellStart"/>
            <w:r w:rsidRPr="004E6C6F">
              <w:rPr>
                <w:rFonts w:eastAsia="Calibri"/>
                <w:b/>
              </w:rPr>
              <w:t>Hochschullehrers</w:t>
            </w:r>
            <w:proofErr w:type="spellEnd"/>
            <w:r w:rsidRPr="004E6C6F">
              <w:rPr>
                <w:rFonts w:eastAsia="Calibri"/>
                <w:b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4E6C6F" w:rsidRDefault="005C4F75" w:rsidP="005A532A">
            <w:pPr>
              <w:rPr>
                <w:rFonts w:eastAsia="Calibri"/>
                <w:kern w:val="16"/>
              </w:rPr>
            </w:pPr>
            <w:r w:rsidRPr="004E6C6F">
              <w:rPr>
                <w:rFonts w:eastAsia="Calibri" w:cs="Arial"/>
                <w:kern w:val="16"/>
              </w:rPr>
              <w:t>Prof. Dr. Marc Beutner</w:t>
            </w:r>
          </w:p>
        </w:tc>
      </w:tr>
      <w:tr w:rsidR="005C4F75" w:rsidRPr="004E6C6F" w:rsidTr="005A532A">
        <w:trPr>
          <w:trHeight w:val="556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4E6C6F" w:rsidRDefault="005C4F75" w:rsidP="005A532A">
            <w:pPr>
              <w:rPr>
                <w:rFonts w:eastAsia="Calibri"/>
                <w:b/>
              </w:rPr>
            </w:pPr>
            <w:proofErr w:type="spellStart"/>
            <w:r w:rsidRPr="004E6C6F">
              <w:rPr>
                <w:rFonts w:eastAsia="Calibri"/>
                <w:b/>
              </w:rPr>
              <w:t>Zugangsvoraussetzungen</w:t>
            </w:r>
            <w:proofErr w:type="spellEnd"/>
            <w:r w:rsidRPr="004E6C6F">
              <w:rPr>
                <w:rFonts w:eastAsia="Calibri"/>
                <w:b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4E6C6F" w:rsidRDefault="005C4F75" w:rsidP="005A532A">
            <w:pPr>
              <w:rPr>
                <w:rFonts w:eastAsia="Calibri"/>
                <w:kern w:val="16"/>
              </w:rPr>
            </w:pPr>
            <w:proofErr w:type="spellStart"/>
            <w:r>
              <w:rPr>
                <w:rFonts w:eastAsia="Calibri"/>
                <w:kern w:val="16"/>
              </w:rPr>
              <w:t>k</w:t>
            </w:r>
            <w:r w:rsidRPr="004E6C6F">
              <w:rPr>
                <w:rFonts w:eastAsia="Calibri"/>
                <w:kern w:val="16"/>
              </w:rPr>
              <w:t>eine</w:t>
            </w:r>
            <w:proofErr w:type="spellEnd"/>
          </w:p>
        </w:tc>
      </w:tr>
      <w:tr w:rsidR="005C4F75" w:rsidRPr="004E6C6F" w:rsidTr="005A532A">
        <w:trPr>
          <w:trHeight w:val="8799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0B6D92" w:rsidRDefault="005C4F75" w:rsidP="005A532A">
            <w:pPr>
              <w:rPr>
                <w:rFonts w:eastAsia="Calibri"/>
                <w:b/>
                <w:lang w:val="de-DE"/>
              </w:rPr>
            </w:pPr>
            <w:r w:rsidRPr="000B6D92">
              <w:rPr>
                <w:rFonts w:eastAsia="Calibri"/>
                <w:b/>
                <w:lang w:val="de-DE"/>
              </w:rPr>
              <w:t>Empfohlene Literaturliste</w:t>
            </w:r>
          </w:p>
          <w:p w:rsidR="005C4F75" w:rsidRPr="000B6D92" w:rsidRDefault="005C4F75" w:rsidP="005A532A">
            <w:pPr>
              <w:rPr>
                <w:rFonts w:eastAsia="Calibri"/>
                <w:b/>
                <w:lang w:val="de-DE"/>
              </w:rPr>
            </w:pPr>
            <w:r w:rsidRPr="000B6D92">
              <w:rPr>
                <w:rFonts w:eastAsia="Calibri"/>
                <w:sz w:val="20"/>
                <w:szCs w:val="20"/>
                <w:lang w:val="de-DE"/>
              </w:rPr>
              <w:t>(Lehr- und Lernmaterialien, Literatur</w:t>
            </w:r>
            <w:r w:rsidRPr="000B6D92">
              <w:rPr>
                <w:rFonts w:eastAsia="Calibri"/>
                <w:lang w:val="de-DE"/>
              </w:rPr>
              <w:t>)</w:t>
            </w:r>
          </w:p>
        </w:tc>
        <w:tc>
          <w:tcPr>
            <w:tcW w:w="48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633627" w:rsidRDefault="005C4F75" w:rsidP="005A532A">
            <w:pPr>
              <w:jc w:val="both"/>
              <w:rPr>
                <w:rFonts w:eastAsia="Calibri" w:cs="Arial"/>
                <w:kern w:val="16"/>
                <w:u w:val="single"/>
                <w:lang w:val="de-DE"/>
              </w:rPr>
            </w:pPr>
            <w:r w:rsidRPr="00633627">
              <w:rPr>
                <w:rFonts w:eastAsia="Calibri" w:cs="Arial"/>
                <w:kern w:val="16"/>
                <w:u w:val="single"/>
                <w:lang w:val="de-DE"/>
              </w:rPr>
              <w:t>Bereich Jahresabschlussanalyse</w:t>
            </w:r>
          </w:p>
          <w:p w:rsidR="005C4F75" w:rsidRPr="000B6D92" w:rsidRDefault="005C4F75" w:rsidP="005A532A">
            <w:pPr>
              <w:tabs>
                <w:tab w:val="left" w:pos="391"/>
              </w:tabs>
              <w:jc w:val="both"/>
              <w:rPr>
                <w:rFonts w:eastAsia="Calibri"/>
                <w:bCs/>
                <w:lang w:val="de-DE"/>
              </w:rPr>
            </w:pPr>
            <w:proofErr w:type="spellStart"/>
            <w:r w:rsidRPr="002027F3">
              <w:rPr>
                <w:rFonts w:eastAsia="Calibri"/>
                <w:bCs/>
                <w:lang w:val="de-DE"/>
              </w:rPr>
              <w:t>Baetge</w:t>
            </w:r>
            <w:proofErr w:type="spellEnd"/>
            <w:r w:rsidRPr="002027F3">
              <w:rPr>
                <w:rFonts w:eastAsia="Calibri"/>
                <w:bCs/>
                <w:lang w:val="de-DE"/>
              </w:rPr>
              <w:t xml:space="preserve">, J./ Kirsch, H.-J./ Thiele, S.: </w:t>
            </w:r>
            <w:r w:rsidRPr="002027F3">
              <w:rPr>
                <w:rFonts w:eastAsia="Calibri"/>
                <w:bCs/>
                <w:i/>
                <w:lang w:val="de-DE"/>
              </w:rPr>
              <w:t>Bilanzanalyse</w:t>
            </w:r>
            <w:r w:rsidRPr="002027F3">
              <w:rPr>
                <w:rFonts w:eastAsia="Calibri"/>
                <w:bCs/>
                <w:lang w:val="de-DE"/>
              </w:rPr>
              <w:t xml:space="preserve">, 2. </w:t>
            </w:r>
            <w:r w:rsidRPr="000B6D92">
              <w:rPr>
                <w:rFonts w:eastAsia="Calibri"/>
                <w:bCs/>
                <w:lang w:val="de-DE"/>
              </w:rPr>
              <w:t>Auflage, Düsseldorf 2004.</w:t>
            </w:r>
          </w:p>
          <w:p w:rsidR="005C4F75" w:rsidRPr="000B6D92" w:rsidRDefault="005C4F75" w:rsidP="005A532A">
            <w:pPr>
              <w:tabs>
                <w:tab w:val="left" w:pos="391"/>
              </w:tabs>
              <w:jc w:val="both"/>
              <w:rPr>
                <w:rFonts w:eastAsia="Calibri"/>
                <w:bCs/>
                <w:lang w:val="de-DE"/>
              </w:rPr>
            </w:pPr>
          </w:p>
          <w:p w:rsidR="005C4F75" w:rsidRPr="00633627" w:rsidRDefault="005C4F75" w:rsidP="005A532A">
            <w:pPr>
              <w:jc w:val="both"/>
              <w:rPr>
                <w:rFonts w:eastAsia="Calibri"/>
                <w:bCs/>
                <w:lang w:val="de-DE"/>
              </w:rPr>
            </w:pPr>
            <w:proofErr w:type="spellStart"/>
            <w:r w:rsidRPr="000B6D92">
              <w:rPr>
                <w:rFonts w:eastAsia="Calibri"/>
                <w:bCs/>
                <w:lang w:val="de-DE"/>
              </w:rPr>
              <w:t>Coenenberg</w:t>
            </w:r>
            <w:proofErr w:type="spellEnd"/>
            <w:r w:rsidRPr="000B6D92">
              <w:rPr>
                <w:rFonts w:eastAsia="Calibri"/>
                <w:bCs/>
                <w:lang w:val="de-DE"/>
              </w:rPr>
              <w:t xml:space="preserve">, A.G.: </w:t>
            </w:r>
            <w:r w:rsidRPr="000B6D92">
              <w:rPr>
                <w:rFonts w:eastAsia="Calibri"/>
                <w:bCs/>
                <w:i/>
                <w:lang w:val="de-DE"/>
              </w:rPr>
              <w:t>Jahresabschluss und Jahresabschlussanalyse</w:t>
            </w:r>
            <w:r w:rsidRPr="000B6D92">
              <w:rPr>
                <w:rFonts w:eastAsia="Calibri"/>
                <w:bCs/>
                <w:lang w:val="de-DE"/>
              </w:rPr>
              <w:t xml:space="preserve">, 20. </w:t>
            </w:r>
            <w:r w:rsidRPr="00633627">
              <w:rPr>
                <w:rFonts w:eastAsia="Calibri"/>
                <w:bCs/>
                <w:lang w:val="de-DE"/>
              </w:rPr>
              <w:t>Auflage, Stuttgart 2005.</w:t>
            </w:r>
          </w:p>
          <w:p w:rsidR="005C4F75" w:rsidRPr="00633627" w:rsidRDefault="005C4F75" w:rsidP="005A532A">
            <w:pPr>
              <w:jc w:val="both"/>
              <w:rPr>
                <w:rFonts w:eastAsia="Calibri"/>
                <w:bCs/>
                <w:lang w:val="de-DE"/>
              </w:rPr>
            </w:pPr>
          </w:p>
          <w:p w:rsidR="005C4F75" w:rsidRPr="00633627" w:rsidRDefault="005C4F75" w:rsidP="005A532A">
            <w:pPr>
              <w:jc w:val="both"/>
              <w:rPr>
                <w:rFonts w:eastAsia="Calibri"/>
                <w:bCs/>
                <w:lang w:val="de-DE"/>
              </w:rPr>
            </w:pPr>
            <w:proofErr w:type="spellStart"/>
            <w:r w:rsidRPr="00633627">
              <w:rPr>
                <w:rFonts w:eastAsia="Calibri"/>
                <w:bCs/>
                <w:lang w:val="de-DE"/>
              </w:rPr>
              <w:t>Gräfer</w:t>
            </w:r>
            <w:proofErr w:type="spellEnd"/>
            <w:r w:rsidRPr="00633627">
              <w:rPr>
                <w:rFonts w:eastAsia="Calibri"/>
                <w:bCs/>
                <w:lang w:val="de-DE"/>
              </w:rPr>
              <w:t xml:space="preserve">, H.: </w:t>
            </w:r>
            <w:r w:rsidRPr="00633627">
              <w:rPr>
                <w:rFonts w:eastAsia="Calibri"/>
                <w:bCs/>
                <w:i/>
                <w:lang w:val="de-DE"/>
              </w:rPr>
              <w:t>Bilanzanalyse</w:t>
            </w:r>
            <w:r w:rsidRPr="00633627">
              <w:rPr>
                <w:rFonts w:eastAsia="Calibri"/>
                <w:bCs/>
                <w:lang w:val="de-DE"/>
              </w:rPr>
              <w:t>, 10. Auflage, 2008.</w:t>
            </w:r>
          </w:p>
          <w:p w:rsidR="005C4F75" w:rsidRPr="00633627" w:rsidRDefault="005C4F75" w:rsidP="005A532A">
            <w:pPr>
              <w:jc w:val="both"/>
              <w:rPr>
                <w:rFonts w:eastAsia="Calibri"/>
                <w:bCs/>
                <w:lang w:val="de-DE"/>
              </w:rPr>
            </w:pPr>
          </w:p>
          <w:p w:rsidR="005C4F75" w:rsidRPr="00633627" w:rsidRDefault="005C4F75" w:rsidP="005A532A">
            <w:pPr>
              <w:jc w:val="both"/>
              <w:rPr>
                <w:rFonts w:eastAsia="Calibri"/>
                <w:bCs/>
                <w:lang w:val="de-DE"/>
              </w:rPr>
            </w:pPr>
            <w:proofErr w:type="spellStart"/>
            <w:r w:rsidRPr="002027F3">
              <w:rPr>
                <w:rFonts w:eastAsia="Calibri"/>
                <w:bCs/>
                <w:lang w:val="de-DE"/>
              </w:rPr>
              <w:t>Küting</w:t>
            </w:r>
            <w:proofErr w:type="spellEnd"/>
            <w:r w:rsidRPr="002027F3">
              <w:rPr>
                <w:rFonts w:eastAsia="Calibri"/>
                <w:bCs/>
                <w:lang w:val="de-DE"/>
              </w:rPr>
              <w:t xml:space="preserve">, K./ Weber, C.-P.: </w:t>
            </w:r>
            <w:r w:rsidRPr="002027F3">
              <w:rPr>
                <w:rFonts w:eastAsia="Calibri"/>
                <w:bCs/>
                <w:i/>
                <w:lang w:val="de-DE"/>
              </w:rPr>
              <w:t>Die Bilanzanalyse</w:t>
            </w:r>
            <w:r w:rsidRPr="002027F3">
              <w:rPr>
                <w:rFonts w:eastAsia="Calibri"/>
                <w:bCs/>
                <w:lang w:val="de-DE"/>
              </w:rPr>
              <w:t xml:space="preserve">, 9. </w:t>
            </w:r>
            <w:r w:rsidRPr="00633627">
              <w:rPr>
                <w:rFonts w:eastAsia="Calibri"/>
                <w:bCs/>
                <w:lang w:val="de-DE"/>
              </w:rPr>
              <w:t>Auflage, Stuttgart, 2009.</w:t>
            </w:r>
          </w:p>
          <w:p w:rsidR="005C4F75" w:rsidRPr="00633627" w:rsidRDefault="005C4F75" w:rsidP="005A532A">
            <w:pPr>
              <w:jc w:val="both"/>
              <w:rPr>
                <w:rFonts w:eastAsia="Calibri"/>
                <w:bCs/>
                <w:lang w:val="de-DE"/>
              </w:rPr>
            </w:pPr>
          </w:p>
          <w:p w:rsidR="005C4F75" w:rsidRPr="00633627" w:rsidRDefault="005C4F75" w:rsidP="005A532A">
            <w:pPr>
              <w:jc w:val="both"/>
              <w:rPr>
                <w:rFonts w:eastAsia="Calibri" w:cs="Arial"/>
                <w:kern w:val="16"/>
                <w:u w:val="single"/>
                <w:lang w:val="de-DE"/>
              </w:rPr>
            </w:pPr>
            <w:r w:rsidRPr="00633627">
              <w:rPr>
                <w:rFonts w:eastAsia="Calibri" w:cs="Arial"/>
                <w:kern w:val="16"/>
                <w:u w:val="single"/>
                <w:lang w:val="de-DE"/>
              </w:rPr>
              <w:t>Bereich Jahresabschlusspolitik</w:t>
            </w:r>
          </w:p>
          <w:p w:rsidR="005C4F75" w:rsidRPr="000B6D92" w:rsidRDefault="005C4F75" w:rsidP="005A532A">
            <w:pPr>
              <w:jc w:val="both"/>
              <w:rPr>
                <w:rFonts w:eastAsia="Calibri" w:cs="Arial"/>
                <w:kern w:val="16"/>
                <w:lang w:val="de-DE"/>
              </w:rPr>
            </w:pPr>
            <w:r w:rsidRPr="002027F3">
              <w:rPr>
                <w:rFonts w:eastAsia="Calibri" w:cs="Arial"/>
                <w:kern w:val="16"/>
                <w:lang w:val="de-DE"/>
              </w:rPr>
              <w:t xml:space="preserve">Lüdenbach, N./ Hoffmann, W.-D.: </w:t>
            </w:r>
            <w:r w:rsidRPr="002027F3">
              <w:rPr>
                <w:rFonts w:eastAsia="Calibri" w:cs="Arial"/>
                <w:i/>
                <w:kern w:val="16"/>
                <w:lang w:val="de-DE"/>
              </w:rPr>
              <w:t>IFRS Kommentar</w:t>
            </w:r>
            <w:r w:rsidRPr="002027F3">
              <w:rPr>
                <w:rFonts w:eastAsia="Calibri" w:cs="Arial"/>
                <w:kern w:val="16"/>
                <w:lang w:val="de-DE"/>
              </w:rPr>
              <w:t xml:space="preserve">, 7. </w:t>
            </w:r>
            <w:r w:rsidRPr="000B6D92">
              <w:rPr>
                <w:rFonts w:eastAsia="Calibri" w:cs="Arial"/>
                <w:kern w:val="16"/>
                <w:lang w:val="de-DE"/>
              </w:rPr>
              <w:t>Auflage, Freiburg 2009.</w:t>
            </w:r>
          </w:p>
          <w:p w:rsidR="005C4F75" w:rsidRPr="000B6D92" w:rsidRDefault="005C4F75" w:rsidP="005A532A">
            <w:pPr>
              <w:jc w:val="both"/>
              <w:rPr>
                <w:rFonts w:eastAsia="Calibri" w:cs="Arial"/>
                <w:kern w:val="16"/>
                <w:lang w:val="de-DE"/>
              </w:rPr>
            </w:pPr>
          </w:p>
          <w:p w:rsidR="005C4F75" w:rsidRPr="000B6D92" w:rsidRDefault="005C4F75" w:rsidP="005A532A">
            <w:pPr>
              <w:jc w:val="both"/>
              <w:rPr>
                <w:rFonts w:eastAsia="Calibri" w:cs="Arial"/>
                <w:kern w:val="16"/>
                <w:lang w:val="de-DE"/>
              </w:rPr>
            </w:pPr>
            <w:r w:rsidRPr="000B6D92">
              <w:rPr>
                <w:rFonts w:eastAsia="Calibri" w:cs="Arial"/>
                <w:kern w:val="16"/>
                <w:lang w:val="de-DE"/>
              </w:rPr>
              <w:t xml:space="preserve">Pfleger, G.: </w:t>
            </w:r>
            <w:r w:rsidRPr="000B6D92">
              <w:rPr>
                <w:rFonts w:eastAsia="Calibri" w:cs="Arial"/>
                <w:i/>
                <w:kern w:val="16"/>
                <w:lang w:val="de-DE"/>
              </w:rPr>
              <w:t>Die neue Praxis der Bilanzpolitik</w:t>
            </w:r>
            <w:r w:rsidRPr="000B6D92">
              <w:rPr>
                <w:rFonts w:eastAsia="Calibri" w:cs="Arial"/>
                <w:kern w:val="16"/>
                <w:lang w:val="de-DE"/>
              </w:rPr>
              <w:t>, 4. Auflage, Freiburg 1991.</w:t>
            </w:r>
          </w:p>
          <w:p w:rsidR="005C4F75" w:rsidRPr="000B6D92" w:rsidRDefault="005C4F75" w:rsidP="005A532A">
            <w:pPr>
              <w:jc w:val="both"/>
              <w:rPr>
                <w:rFonts w:eastAsia="Calibri"/>
                <w:bCs/>
                <w:lang w:val="de-DE"/>
              </w:rPr>
            </w:pPr>
          </w:p>
          <w:p w:rsidR="005C4F75" w:rsidRPr="000B6D92" w:rsidRDefault="005C4F75" w:rsidP="005A532A">
            <w:pPr>
              <w:jc w:val="both"/>
              <w:rPr>
                <w:rFonts w:eastAsia="Calibri" w:cs="Arial"/>
                <w:kern w:val="16"/>
                <w:lang w:val="de-DE"/>
              </w:rPr>
            </w:pPr>
            <w:r w:rsidRPr="000B6D92">
              <w:rPr>
                <w:rFonts w:eastAsia="Calibri" w:cs="Arial"/>
                <w:kern w:val="16"/>
                <w:lang w:val="de-DE"/>
              </w:rPr>
              <w:t xml:space="preserve">Schäfer, S.: </w:t>
            </w:r>
            <w:r w:rsidRPr="000B6D92">
              <w:rPr>
                <w:rFonts w:eastAsia="Calibri" w:cs="Arial"/>
                <w:i/>
                <w:kern w:val="16"/>
                <w:lang w:val="de-DE"/>
              </w:rPr>
              <w:t>Entscheidungsmodelle der Konzernrechnungslegungspolitik</w:t>
            </w:r>
            <w:r w:rsidRPr="000B6D92">
              <w:rPr>
                <w:rFonts w:eastAsia="Calibri" w:cs="Arial"/>
                <w:kern w:val="16"/>
                <w:lang w:val="de-DE"/>
              </w:rPr>
              <w:t>, Landsberg/Lech 1999.</w:t>
            </w:r>
          </w:p>
          <w:p w:rsidR="005C4F75" w:rsidRPr="000B6D92" w:rsidRDefault="005C4F75" w:rsidP="005A532A">
            <w:pPr>
              <w:jc w:val="both"/>
              <w:rPr>
                <w:rFonts w:eastAsia="Calibri" w:cs="Arial"/>
                <w:kern w:val="16"/>
                <w:lang w:val="de-DE"/>
              </w:rPr>
            </w:pPr>
          </w:p>
          <w:p w:rsidR="005C4F75" w:rsidRPr="000B6D92" w:rsidRDefault="005C4F75" w:rsidP="005A532A">
            <w:pPr>
              <w:jc w:val="both"/>
              <w:rPr>
                <w:rFonts w:eastAsia="Calibri" w:cs="Arial"/>
                <w:kern w:val="16"/>
                <w:lang w:val="de-DE"/>
              </w:rPr>
            </w:pPr>
            <w:r w:rsidRPr="000B6D92">
              <w:rPr>
                <w:rFonts w:eastAsia="Calibri" w:cs="Arial"/>
                <w:kern w:val="16"/>
                <w:lang w:val="de-DE"/>
              </w:rPr>
              <w:t xml:space="preserve">Scherrer, G.: </w:t>
            </w:r>
            <w:r w:rsidRPr="000B6D92">
              <w:rPr>
                <w:rFonts w:eastAsia="Calibri" w:cs="Arial"/>
                <w:i/>
                <w:kern w:val="16"/>
                <w:lang w:val="de-DE"/>
              </w:rPr>
              <w:t>Rechnungslegung nach neuem HGB</w:t>
            </w:r>
            <w:r w:rsidRPr="000B6D92">
              <w:rPr>
                <w:rFonts w:eastAsia="Calibri" w:cs="Arial"/>
                <w:kern w:val="16"/>
                <w:lang w:val="de-DE"/>
              </w:rPr>
              <w:t>, 2. Auflage, München 2009.</w:t>
            </w:r>
          </w:p>
          <w:p w:rsidR="005C4F75" w:rsidRPr="000B6D92" w:rsidRDefault="005C4F75" w:rsidP="005A532A">
            <w:pPr>
              <w:jc w:val="both"/>
              <w:rPr>
                <w:rFonts w:eastAsia="Calibri" w:cs="Arial"/>
                <w:kern w:val="16"/>
                <w:lang w:val="de-DE"/>
              </w:rPr>
            </w:pPr>
          </w:p>
          <w:p w:rsidR="005C4F75" w:rsidRPr="00973391" w:rsidRDefault="005C4F75" w:rsidP="005A532A">
            <w:pPr>
              <w:jc w:val="both"/>
              <w:rPr>
                <w:rFonts w:eastAsia="Calibri" w:cs="Arial"/>
                <w:kern w:val="16"/>
              </w:rPr>
            </w:pPr>
            <w:r w:rsidRPr="000B6D92">
              <w:rPr>
                <w:rFonts w:eastAsia="Calibri" w:cs="Arial"/>
                <w:kern w:val="16"/>
                <w:lang w:val="de-DE"/>
              </w:rPr>
              <w:t xml:space="preserve">Wöhe, G.: </w:t>
            </w:r>
            <w:r w:rsidRPr="000B6D92">
              <w:rPr>
                <w:rFonts w:eastAsia="Calibri" w:cs="Arial"/>
                <w:i/>
                <w:kern w:val="16"/>
                <w:lang w:val="de-DE"/>
              </w:rPr>
              <w:t>Bilanzierung und Bilanzpolitik</w:t>
            </w:r>
            <w:r w:rsidRPr="000B6D92">
              <w:rPr>
                <w:rFonts w:eastAsia="Calibri" w:cs="Arial"/>
                <w:kern w:val="16"/>
                <w:lang w:val="de-DE"/>
              </w:rPr>
              <w:t xml:space="preserve">, 9. </w:t>
            </w:r>
            <w:proofErr w:type="spellStart"/>
            <w:r w:rsidRPr="004E6C6F">
              <w:rPr>
                <w:rFonts w:eastAsia="Calibri" w:cs="Arial"/>
                <w:kern w:val="16"/>
              </w:rPr>
              <w:t>Aufl</w:t>
            </w:r>
            <w:r>
              <w:rPr>
                <w:rFonts w:eastAsia="Calibri" w:cs="Arial"/>
                <w:kern w:val="16"/>
              </w:rPr>
              <w:t>age</w:t>
            </w:r>
            <w:proofErr w:type="spellEnd"/>
            <w:r w:rsidRPr="004E6C6F">
              <w:rPr>
                <w:rFonts w:eastAsia="Calibri" w:cs="Arial"/>
                <w:kern w:val="16"/>
              </w:rPr>
              <w:t>, München 1997.</w:t>
            </w:r>
          </w:p>
        </w:tc>
      </w:tr>
      <w:tr w:rsidR="005C4F75" w:rsidRPr="004E6C6F" w:rsidTr="005A532A">
        <w:trPr>
          <w:trHeight w:val="556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4E6C6F" w:rsidRDefault="005C4F75" w:rsidP="005A532A">
            <w:pPr>
              <w:rPr>
                <w:rFonts w:eastAsia="Calibri"/>
                <w:b/>
              </w:rPr>
            </w:pPr>
            <w:r w:rsidRPr="004E6C6F">
              <w:rPr>
                <w:rFonts w:eastAsia="Calibri"/>
                <w:b/>
              </w:rPr>
              <w:t xml:space="preserve">Lehr- und </w:t>
            </w:r>
            <w:proofErr w:type="spellStart"/>
            <w:r w:rsidRPr="004E6C6F">
              <w:rPr>
                <w:rFonts w:eastAsia="Calibri"/>
                <w:b/>
              </w:rPr>
              <w:t>Lernmethoden</w:t>
            </w:r>
            <w:proofErr w:type="spellEnd"/>
            <w:r w:rsidRPr="004E6C6F">
              <w:rPr>
                <w:rFonts w:eastAsia="Calibri"/>
                <w:b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4E6C6F" w:rsidRDefault="005C4F75" w:rsidP="005A532A">
            <w:pPr>
              <w:rPr>
                <w:rFonts w:eastAsia="Calibri" w:cs="Arial"/>
                <w:kern w:val="16"/>
              </w:rPr>
            </w:pPr>
            <w:proofErr w:type="spellStart"/>
            <w:r w:rsidRPr="004E6C6F">
              <w:rPr>
                <w:rFonts w:eastAsia="Calibri" w:cs="Arial"/>
                <w:kern w:val="16"/>
              </w:rPr>
              <w:t>Seminaristischer</w:t>
            </w:r>
            <w:proofErr w:type="spellEnd"/>
            <w:r w:rsidRPr="004E6C6F">
              <w:rPr>
                <w:rFonts w:eastAsia="Calibri" w:cs="Arial"/>
                <w:kern w:val="16"/>
              </w:rPr>
              <w:t xml:space="preserve"> </w:t>
            </w:r>
            <w:proofErr w:type="spellStart"/>
            <w:r w:rsidRPr="004E6C6F">
              <w:rPr>
                <w:rFonts w:eastAsia="Calibri" w:cs="Arial"/>
                <w:kern w:val="16"/>
              </w:rPr>
              <w:t>Unterricht</w:t>
            </w:r>
            <w:proofErr w:type="spellEnd"/>
            <w:r w:rsidRPr="004E6C6F">
              <w:rPr>
                <w:rFonts w:eastAsia="Calibri" w:cs="Arial"/>
                <w:kern w:val="16"/>
              </w:rPr>
              <w:t xml:space="preserve"> </w:t>
            </w:r>
          </w:p>
        </w:tc>
      </w:tr>
      <w:tr w:rsidR="005C4F75" w:rsidRPr="00F73E1D" w:rsidTr="005A532A">
        <w:trPr>
          <w:trHeight w:val="556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0B6D92" w:rsidRDefault="005C4F75" w:rsidP="005A532A">
            <w:pPr>
              <w:rPr>
                <w:rFonts w:eastAsia="Calibri"/>
                <w:lang w:val="de-DE"/>
              </w:rPr>
            </w:pPr>
            <w:r w:rsidRPr="000B6D92">
              <w:rPr>
                <w:rFonts w:eastAsia="Calibri"/>
                <w:b/>
                <w:lang w:val="de-DE"/>
              </w:rPr>
              <w:t xml:space="preserve">Bewertungsmethoden </w:t>
            </w:r>
            <w:r w:rsidRPr="000B6D92">
              <w:rPr>
                <w:rFonts w:eastAsia="Calibri"/>
                <w:sz w:val="20"/>
                <w:szCs w:val="20"/>
                <w:lang w:val="de-DE"/>
              </w:rPr>
              <w:t>(Lernkontrolle/Leistungsüberprüfung auch Dauer der Prüfung)</w:t>
            </w:r>
          </w:p>
        </w:tc>
        <w:tc>
          <w:tcPr>
            <w:tcW w:w="4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Default="005C4F75" w:rsidP="005A532A">
            <w:pPr>
              <w:tabs>
                <w:tab w:val="left" w:pos="2810"/>
              </w:tabs>
              <w:rPr>
                <w:rFonts w:eastAsia="Calibri" w:cs="Arial"/>
                <w:kern w:val="16"/>
                <w:lang w:val="de-DE"/>
              </w:rPr>
            </w:pPr>
            <w:r w:rsidRPr="000B6D92">
              <w:rPr>
                <w:rFonts w:eastAsia="Calibri" w:cs="Arial"/>
                <w:kern w:val="16"/>
                <w:lang w:val="de-DE"/>
              </w:rPr>
              <w:t xml:space="preserve">Klausur: </w:t>
            </w:r>
            <w:r>
              <w:rPr>
                <w:rFonts w:eastAsia="Calibri" w:cs="Arial"/>
                <w:kern w:val="16"/>
                <w:lang w:val="de-DE"/>
              </w:rPr>
              <w:t>6</w:t>
            </w:r>
            <w:r w:rsidRPr="000B6D92">
              <w:rPr>
                <w:rFonts w:eastAsia="Calibri" w:cs="Arial"/>
                <w:kern w:val="16"/>
                <w:lang w:val="de-DE"/>
              </w:rPr>
              <w:t xml:space="preserve">0 %, </w:t>
            </w:r>
            <w:r>
              <w:rPr>
                <w:rFonts w:eastAsia="Calibri" w:cs="Arial"/>
                <w:kern w:val="16"/>
                <w:lang w:val="de-DE"/>
              </w:rPr>
              <w:t>6</w:t>
            </w:r>
            <w:r w:rsidRPr="000B6D92">
              <w:rPr>
                <w:rFonts w:eastAsia="Calibri" w:cs="Arial"/>
                <w:kern w:val="16"/>
                <w:lang w:val="de-DE"/>
              </w:rPr>
              <w:t>0 Minuten</w:t>
            </w:r>
            <w:r w:rsidR="00F73E1D">
              <w:rPr>
                <w:rFonts w:eastAsia="Calibri" w:cs="Arial"/>
                <w:kern w:val="16"/>
                <w:lang w:val="de-DE"/>
              </w:rPr>
              <w:br/>
              <w:t>während Corona Hausarbeit</w:t>
            </w:r>
            <w:bookmarkStart w:id="0" w:name="_GoBack"/>
            <w:bookmarkEnd w:id="0"/>
          </w:p>
          <w:p w:rsidR="005C4F75" w:rsidRPr="000B6D92" w:rsidRDefault="005C4F75" w:rsidP="005A532A">
            <w:pPr>
              <w:tabs>
                <w:tab w:val="left" w:pos="2810"/>
              </w:tabs>
              <w:rPr>
                <w:rFonts w:eastAsia="Calibri" w:cs="Arial"/>
                <w:kern w:val="16"/>
                <w:lang w:val="de-DE"/>
              </w:rPr>
            </w:pPr>
            <w:r>
              <w:rPr>
                <w:rFonts w:eastAsia="Calibri" w:cs="Arial"/>
                <w:kern w:val="16"/>
                <w:lang w:val="de-DE"/>
              </w:rPr>
              <w:t>Gruppenpräsentation: 40%, 30 Minuten</w:t>
            </w:r>
          </w:p>
          <w:p w:rsidR="005C4F75" w:rsidRPr="000B6D92" w:rsidRDefault="005C4F75" w:rsidP="005A532A">
            <w:pPr>
              <w:tabs>
                <w:tab w:val="left" w:pos="2810"/>
              </w:tabs>
              <w:rPr>
                <w:rFonts w:eastAsia="Calibri" w:cs="Arial"/>
                <w:kern w:val="16"/>
                <w:lang w:val="de-DE"/>
              </w:rPr>
            </w:pPr>
          </w:p>
          <w:p w:rsidR="005C4F75" w:rsidRPr="000B6D92" w:rsidRDefault="005C4F75" w:rsidP="005A532A">
            <w:pPr>
              <w:tabs>
                <w:tab w:val="left" w:pos="2810"/>
              </w:tabs>
              <w:jc w:val="both"/>
              <w:rPr>
                <w:rFonts w:eastAsia="Calibri" w:cs="Arial"/>
                <w:kern w:val="16"/>
                <w:lang w:val="de-DE"/>
              </w:rPr>
            </w:pPr>
            <w:r w:rsidRPr="000B6D92">
              <w:rPr>
                <w:color w:val="000000"/>
                <w:lang w:val="de-DE"/>
              </w:rPr>
              <w:t>Dieses Modul hat eine Gewichtung von 5 Prozent im Verhältnis zur Gesamtnote.</w:t>
            </w:r>
          </w:p>
        </w:tc>
      </w:tr>
      <w:tr w:rsidR="005C4F75" w:rsidRPr="004E6C6F" w:rsidTr="005A532A">
        <w:trPr>
          <w:trHeight w:val="556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4E6C6F" w:rsidRDefault="005C4F75" w:rsidP="005A532A">
            <w:pPr>
              <w:rPr>
                <w:rFonts w:eastAsia="Calibri"/>
                <w:b/>
              </w:rPr>
            </w:pPr>
            <w:proofErr w:type="spellStart"/>
            <w:r w:rsidRPr="004E6C6F">
              <w:rPr>
                <w:rFonts w:eastAsia="Calibri"/>
                <w:b/>
              </w:rPr>
              <w:t>Unterrichts</w:t>
            </w:r>
            <w:proofErr w:type="spellEnd"/>
            <w:r w:rsidRPr="004E6C6F">
              <w:rPr>
                <w:rFonts w:eastAsia="Calibri"/>
                <w:b/>
              </w:rPr>
              <w:t>-/</w:t>
            </w:r>
            <w:proofErr w:type="spellStart"/>
            <w:r w:rsidRPr="004E6C6F">
              <w:rPr>
                <w:rFonts w:eastAsia="Calibri"/>
                <w:b/>
              </w:rPr>
              <w:t>Lehrsprache</w:t>
            </w:r>
            <w:proofErr w:type="spellEnd"/>
            <w:r w:rsidRPr="004E6C6F">
              <w:rPr>
                <w:rFonts w:eastAsia="Calibri"/>
                <w:b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4E6C6F" w:rsidRDefault="005C4F75" w:rsidP="005A532A">
            <w:pPr>
              <w:rPr>
                <w:rFonts w:eastAsia="Calibri"/>
                <w:kern w:val="16"/>
              </w:rPr>
            </w:pPr>
            <w:r w:rsidRPr="004E6C6F">
              <w:rPr>
                <w:rFonts w:eastAsia="Calibri" w:cs="Arial"/>
                <w:kern w:val="16"/>
              </w:rPr>
              <w:t>Deutsch</w:t>
            </w:r>
          </w:p>
        </w:tc>
      </w:tr>
      <w:tr w:rsidR="005C4F75" w:rsidRPr="00F73E1D" w:rsidTr="005A532A">
        <w:trPr>
          <w:trHeight w:val="7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0B6D92" w:rsidRDefault="005C4F75" w:rsidP="005A532A">
            <w:pPr>
              <w:rPr>
                <w:rFonts w:eastAsia="Calibri"/>
                <w:lang w:val="de-DE"/>
              </w:rPr>
            </w:pPr>
            <w:r w:rsidRPr="000B6D92">
              <w:rPr>
                <w:rFonts w:eastAsia="Calibri"/>
                <w:b/>
                <w:lang w:val="de-DE"/>
              </w:rPr>
              <w:t>Besonderes</w:t>
            </w:r>
            <w:r w:rsidRPr="000B6D92">
              <w:rPr>
                <w:rFonts w:eastAsia="Calibri"/>
                <w:lang w:val="de-DE"/>
              </w:rPr>
              <w:t xml:space="preserve"> </w:t>
            </w:r>
            <w:r w:rsidRPr="000B6D92">
              <w:rPr>
                <w:rFonts w:eastAsia="Calibri"/>
                <w:sz w:val="20"/>
                <w:szCs w:val="20"/>
                <w:lang w:val="de-DE"/>
              </w:rPr>
              <w:t>(z.B. Online-Anteil, Praxisbesuche, Gastsprecher etc.)</w:t>
            </w:r>
          </w:p>
        </w:tc>
        <w:tc>
          <w:tcPr>
            <w:tcW w:w="4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5C4F75" w:rsidRPr="000B6D92" w:rsidRDefault="005C4F75" w:rsidP="005A532A">
            <w:pPr>
              <w:rPr>
                <w:rFonts w:eastAsia="Calibri"/>
                <w:kern w:val="16"/>
                <w:lang w:val="de-DE"/>
              </w:rPr>
            </w:pPr>
          </w:p>
        </w:tc>
      </w:tr>
    </w:tbl>
    <w:p w:rsidR="005E248E" w:rsidRDefault="005C4F75">
      <w:r w:rsidRPr="004E6C6F">
        <w:rPr>
          <w:sz w:val="20"/>
          <w:szCs w:val="20"/>
        </w:rPr>
        <w:t xml:space="preserve">Stand: </w:t>
      </w:r>
      <w:proofErr w:type="spellStart"/>
      <w:r>
        <w:rPr>
          <w:sz w:val="20"/>
          <w:szCs w:val="20"/>
        </w:rPr>
        <w:t>Februar</w:t>
      </w:r>
      <w:proofErr w:type="spellEnd"/>
      <w:r w:rsidRPr="004E6C6F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</w:p>
    <w:sectPr w:rsidR="005E24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75"/>
    <w:rsid w:val="001872B0"/>
    <w:rsid w:val="005C4F75"/>
    <w:rsid w:val="00614D84"/>
    <w:rsid w:val="00EF489B"/>
    <w:rsid w:val="00F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3846"/>
  <w15:chartTrackingRefBased/>
  <w15:docId w15:val="{89F2E26F-A173-4BDA-A583-7176A0C2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4F7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mbeutner</dc:creator>
  <cp:keywords/>
  <dc:description/>
  <cp:lastModifiedBy>Marc Beutner</cp:lastModifiedBy>
  <cp:revision>4</cp:revision>
  <dcterms:created xsi:type="dcterms:W3CDTF">2014-03-16T17:30:00Z</dcterms:created>
  <dcterms:modified xsi:type="dcterms:W3CDTF">2021-03-10T19:04:00Z</dcterms:modified>
</cp:coreProperties>
</file>